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85" w:rsidRDefault="00B56785" w:rsidP="00B5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 </w:t>
      </w:r>
      <w:r w:rsidRPr="000563C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сельских и 2 городских поселений Почепского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427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785" w:rsidRPr="000563CD" w:rsidRDefault="00B56785" w:rsidP="00B56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85" w:rsidRDefault="00F84BB3" w:rsidP="00B567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56785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67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354ACF" w:rsidRDefault="00354ACF" w:rsidP="00B73AA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084F5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F5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354ACF" w:rsidRDefault="00354ACF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354ACF" w:rsidRDefault="00354ACF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4AC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 Почепского района (в части исполнения полномочий администрации города Почепа),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354ACF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Pr="00354ACF">
        <w:rPr>
          <w:rFonts w:ascii="Times New Roman" w:hAnsi="Times New Roman"/>
          <w:sz w:val="28"/>
          <w:szCs w:val="28"/>
        </w:rPr>
        <w:t>Рамасуха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Бакланск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Бельковск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Гущинск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Витовск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Дмитровск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Доманичск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Краснорогск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>, Московск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>, Первомайск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Польниковск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Речицк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Сетоловск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Семецк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5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ACF">
        <w:rPr>
          <w:rFonts w:ascii="Times New Roman" w:hAnsi="Times New Roman"/>
          <w:sz w:val="28"/>
          <w:szCs w:val="28"/>
        </w:rPr>
        <w:t>Чоповск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54A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</w:t>
      </w:r>
      <w:r w:rsidRPr="00354AC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 устранены нарушения применения бюджетной классификации при отражении расходов на выплату пенсий за выслугу лет.</w:t>
      </w:r>
    </w:p>
    <w:p w:rsidR="00354ACF" w:rsidRDefault="00354ACF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3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В части </w:t>
      </w:r>
      <w:r w:rsidR="00B73AA0">
        <w:rPr>
          <w:rFonts w:ascii="Times New Roman" w:hAnsi="Times New Roman"/>
          <w:sz w:val="28"/>
          <w:szCs w:val="28"/>
        </w:rPr>
        <w:t>исполнения бюджетных полномочий главных администраторов доходов бюджетов:</w:t>
      </w:r>
    </w:p>
    <w:p w:rsidR="00B73AA0" w:rsidRDefault="00B73AA0" w:rsidP="00B73AA0">
      <w:pPr>
        <w:pStyle w:val="a3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Краснорогской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администрацией </w:t>
      </w:r>
      <w:r w:rsidRPr="00DE43BF">
        <w:rPr>
          <w:rFonts w:ascii="Times New Roman" w:hAnsi="Times New Roman"/>
          <w:color w:val="000000"/>
          <w:sz w:val="28"/>
          <w:szCs w:val="28"/>
        </w:rPr>
        <w:t>взыскан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E43BF">
        <w:rPr>
          <w:rFonts w:ascii="Times New Roman" w:hAnsi="Times New Roman"/>
          <w:color w:val="000000"/>
          <w:sz w:val="28"/>
          <w:szCs w:val="28"/>
        </w:rPr>
        <w:t xml:space="preserve"> задолженности по договор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43BF">
        <w:rPr>
          <w:rFonts w:ascii="Times New Roman" w:hAnsi="Times New Roman"/>
          <w:color w:val="000000"/>
          <w:sz w:val="28"/>
          <w:szCs w:val="28"/>
        </w:rPr>
        <w:t xml:space="preserve"> аренды имущества,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Семецкой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администрацией </w:t>
      </w:r>
      <w:r w:rsidRPr="00DE43BF">
        <w:rPr>
          <w:rFonts w:ascii="Times New Roman" w:hAnsi="Times New Roman"/>
          <w:color w:val="000000"/>
          <w:sz w:val="28"/>
          <w:szCs w:val="28"/>
        </w:rPr>
        <w:t>взыскан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E43BF">
        <w:rPr>
          <w:rFonts w:ascii="Times New Roman" w:hAnsi="Times New Roman"/>
          <w:color w:val="000000"/>
          <w:sz w:val="28"/>
          <w:szCs w:val="28"/>
        </w:rPr>
        <w:t xml:space="preserve"> задолженности по </w:t>
      </w:r>
      <w:r>
        <w:rPr>
          <w:rFonts w:ascii="Times New Roman" w:hAnsi="Times New Roman"/>
          <w:color w:val="000000"/>
          <w:sz w:val="28"/>
          <w:szCs w:val="28"/>
        </w:rPr>
        <w:t>договору аренды здания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AA0" w:rsidRDefault="00B73AA0" w:rsidP="00B73AA0">
      <w:pPr>
        <w:pStyle w:val="a3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Внесены уточнения в нормативные правовые акты, утверждающие отчеты об исполнении бюджетов за 9 месяцев 2022 года.</w:t>
      </w:r>
    </w:p>
    <w:p w:rsidR="00B73AA0" w:rsidRDefault="00B73AA0" w:rsidP="003B3490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B3490">
        <w:rPr>
          <w:rFonts w:ascii="Times New Roman" w:hAnsi="Times New Roman"/>
          <w:sz w:val="28"/>
          <w:szCs w:val="28"/>
        </w:rPr>
        <w:t>П</w:t>
      </w:r>
      <w:r w:rsidRPr="00226DF1">
        <w:rPr>
          <w:rFonts w:ascii="Times New Roman" w:hAnsi="Times New Roman"/>
          <w:sz w:val="28"/>
          <w:szCs w:val="28"/>
        </w:rPr>
        <w:t>ривлечены к ответственности должностные лица, допустившие нарушения бюджетного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73AA0" w:rsidRPr="00DE43BF" w:rsidRDefault="00B73AA0" w:rsidP="00B73AA0">
      <w:pPr>
        <w:pStyle w:val="a3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B73AA0" w:rsidRDefault="00B73AA0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ACF" w:rsidRDefault="003B3490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B3490" w:rsidRDefault="003B3490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B3490" w:rsidRPr="001D75C1" w:rsidRDefault="003B3490" w:rsidP="00B73AA0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Почепского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Л.И. Молодожен</w:t>
      </w:r>
    </w:p>
    <w:p w:rsidR="00354ACF" w:rsidRPr="001D75C1" w:rsidRDefault="00354ACF" w:rsidP="00B73AA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4ACF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4F24722C"/>
    <w:lvl w:ilvl="0" w:tplc="7562AF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6"/>
    <w:rsid w:val="00354ACF"/>
    <w:rsid w:val="003B3490"/>
    <w:rsid w:val="00587EC8"/>
    <w:rsid w:val="005C5FD8"/>
    <w:rsid w:val="007A427A"/>
    <w:rsid w:val="00891A38"/>
    <w:rsid w:val="00B56785"/>
    <w:rsid w:val="00B73AA0"/>
    <w:rsid w:val="00DC077B"/>
    <w:rsid w:val="00F84BB3"/>
    <w:rsid w:val="00FA2A62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EC48-E87F-4714-B645-A12959A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8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567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785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2023-02-13T09:05:00Z</dcterms:created>
  <dcterms:modified xsi:type="dcterms:W3CDTF">2023-02-13T14:57:00Z</dcterms:modified>
</cp:coreProperties>
</file>