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3E" w:rsidRDefault="0031073E" w:rsidP="003107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Информация</w:t>
      </w:r>
    </w:p>
    <w:p w:rsidR="0031073E" w:rsidRDefault="0031073E" w:rsidP="003107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результатах экспертно-аналитического мероприятия</w:t>
      </w:r>
    </w:p>
    <w:p w:rsidR="00DA0607" w:rsidRDefault="007F75C8" w:rsidP="00DA0607">
      <w:pPr>
        <w:spacing w:after="0" w:line="240" w:lineRule="auto"/>
        <w:ind w:right="-1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7F75C8">
        <w:rPr>
          <w:rFonts w:ascii="Times New Roman" w:eastAsia="Arial Unicode MS" w:hAnsi="Times New Roman"/>
          <w:b/>
          <w:sz w:val="28"/>
          <w:szCs w:val="28"/>
        </w:rPr>
        <w:t>«Экспертиза и подготовка заключения на отчет об исполнении бюджета Почепского муниципального района Брянской области за 20</w:t>
      </w:r>
      <w:r w:rsidR="005E090B">
        <w:rPr>
          <w:rFonts w:ascii="Times New Roman" w:eastAsia="Arial Unicode MS" w:hAnsi="Times New Roman"/>
          <w:b/>
          <w:sz w:val="28"/>
          <w:szCs w:val="28"/>
        </w:rPr>
        <w:t>20</w:t>
      </w:r>
      <w:r w:rsidRPr="007F75C8">
        <w:rPr>
          <w:rFonts w:ascii="Times New Roman" w:eastAsia="Arial Unicode MS" w:hAnsi="Times New Roman"/>
          <w:b/>
          <w:sz w:val="28"/>
          <w:szCs w:val="28"/>
        </w:rPr>
        <w:t xml:space="preserve"> год»</w:t>
      </w:r>
      <w:r>
        <w:rPr>
          <w:rFonts w:ascii="Times New Roman" w:eastAsia="Arial Unicode MS" w:hAnsi="Times New Roman"/>
          <w:b/>
          <w:sz w:val="28"/>
          <w:szCs w:val="28"/>
        </w:rPr>
        <w:t>.</w:t>
      </w:r>
    </w:p>
    <w:p w:rsidR="007F75C8" w:rsidRPr="007F75C8" w:rsidRDefault="007F75C8" w:rsidP="00DA0607">
      <w:pPr>
        <w:spacing w:after="0" w:line="240" w:lineRule="auto"/>
        <w:ind w:right="-1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F95E86" w:rsidRPr="002313B7" w:rsidRDefault="00F95E86" w:rsidP="00A7098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ст.264.4. Бюджетного кодекса Российской Федерации, </w:t>
      </w:r>
      <w:r w:rsidR="009C199F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Порядком составления, рассмотрения и утверждения районного бюджета, а также порядке представления, рассмотрения и утверждения отчетности об исполнении районного бюджета и его внешней проверки, утвержденным решением Почепского районного Совета народных депутатов от 13.02.2017 № 223, 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>пунктом 1.3.1 Плана работы Контрольно-счетной палаты Почепского района на 2021 год проведена внешняя проверка годового отчета об исполнении бюджета Почепского муниципального района Брянской области за 2020 год, включая внешнюю проверку бюджетной отчетности 6 главных администраторов бюджетных средств.</w:t>
      </w:r>
    </w:p>
    <w:p w:rsidR="009C199F" w:rsidRPr="002313B7" w:rsidRDefault="009C199F" w:rsidP="00A7098D">
      <w:pPr>
        <w:spacing w:after="0" w:line="264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на отчет об исполнении бюджета Почепского муниципального района за 2020год представлено в </w:t>
      </w:r>
      <w:proofErr w:type="spellStart"/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>Почепский</w:t>
      </w:r>
      <w:proofErr w:type="spellEnd"/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районный Совет народных депутатов.</w:t>
      </w:r>
    </w:p>
    <w:p w:rsidR="009C199F" w:rsidRPr="002313B7" w:rsidRDefault="00596136" w:rsidP="00A7098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проведенного </w:t>
      </w:r>
      <w:r w:rsidR="009C199F" w:rsidRPr="002313B7">
        <w:rPr>
          <w:rFonts w:ascii="Times New Roman" w:eastAsia="Times New Roman" w:hAnsi="Times New Roman"/>
          <w:sz w:val="28"/>
          <w:szCs w:val="28"/>
          <w:lang w:eastAsia="ru-RU"/>
        </w:rPr>
        <w:t>экспертно-аналитического мероприятия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установлено соответствие показателей годового отчета показателям исполнения бюджета </w:t>
      </w:r>
      <w:r w:rsidR="009C199F" w:rsidRPr="002313B7">
        <w:rPr>
          <w:rFonts w:ascii="Times New Roman" w:eastAsia="Times New Roman" w:hAnsi="Times New Roman"/>
          <w:sz w:val="28"/>
          <w:szCs w:val="28"/>
          <w:lang w:eastAsia="ru-RU"/>
        </w:rPr>
        <w:t>Почепского муниципального района Брянской области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96136" w:rsidRPr="002313B7" w:rsidRDefault="00596136" w:rsidP="00A7098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Факты неполноты годового отчета, искажения бюджетной отчетности, существенно влияющие на полноту и достоверность бюджетной отчетности, не выявлены. Годовой отчет по составу, содержанию (перечню отраженных в нем показателей) и представлению </w:t>
      </w:r>
      <w:r w:rsidR="009C199F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 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>соответствует установленным требованиям.</w:t>
      </w:r>
    </w:p>
    <w:p w:rsidR="00A7098D" w:rsidRDefault="009C199F" w:rsidP="00A7098D">
      <w:pPr>
        <w:spacing w:after="0" w:line="264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>Вместе с тем, в</w:t>
      </w:r>
      <w:r w:rsidR="0013723D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3801" w:rsidRPr="002313B7">
        <w:rPr>
          <w:rFonts w:ascii="Times New Roman" w:eastAsia="Times New Roman" w:hAnsi="Times New Roman"/>
          <w:sz w:val="28"/>
          <w:szCs w:val="28"/>
          <w:lang w:eastAsia="ru-RU"/>
        </w:rPr>
        <w:t>отдельных</w:t>
      </w:r>
      <w:r w:rsidR="0013723D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формах бюджетной отчетности четырех главных администраторов бюджетных средств (отдел культуры, отдел образования, финансовое управление, администрация Почепского района) выявлены факты неверного от</w:t>
      </w:r>
      <w:r w:rsidR="00B37FD2">
        <w:rPr>
          <w:rFonts w:ascii="Times New Roman" w:eastAsia="Times New Roman" w:hAnsi="Times New Roman"/>
          <w:sz w:val="28"/>
          <w:szCs w:val="28"/>
          <w:lang w:eastAsia="ru-RU"/>
        </w:rPr>
        <w:t xml:space="preserve">ражения показателей. </w:t>
      </w:r>
      <w:r w:rsidR="00A7098D">
        <w:rPr>
          <w:rFonts w:ascii="Times New Roman" w:eastAsia="Times New Roman" w:hAnsi="Times New Roman"/>
          <w:sz w:val="28"/>
          <w:szCs w:val="28"/>
          <w:lang w:eastAsia="ru-RU"/>
        </w:rPr>
        <w:t>Отдельные показатели были уточнены в ходе проведения экспертно-аналитического мероприятия путем внесения уточнения в бюджетную отчетность в соответствии с требованиями федеральных стандартов бухгалтерского учета.</w:t>
      </w:r>
    </w:p>
    <w:p w:rsidR="00A7098D" w:rsidRDefault="00B37FD2" w:rsidP="00A7098D">
      <w:pPr>
        <w:spacing w:after="0" w:line="264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>Выборочно проведена проверка соблюдения главными распорядителями требований законодательства о контрактной системе закупок товаров, работ, услуг в 2020 году, по результатам которой отдельные нарушения недостатки в деятельности муниципальных заказчиков.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37FD2" w:rsidRDefault="00B37FD2" w:rsidP="00A7098D">
      <w:pPr>
        <w:spacing w:after="0" w:line="264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указанными фактами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адрес руководителей направлены представления.</w:t>
      </w:r>
    </w:p>
    <w:p w:rsidR="0013723D" w:rsidRPr="002313B7" w:rsidRDefault="0013723D" w:rsidP="00A7098D">
      <w:pPr>
        <w:spacing w:after="0" w:line="264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2019 году поступление доходов бюджета </w:t>
      </w:r>
      <w:r w:rsidR="00B90A7D" w:rsidRPr="002313B7">
        <w:rPr>
          <w:rFonts w:ascii="Times New Roman" w:eastAsia="Times New Roman" w:hAnsi="Times New Roman"/>
          <w:sz w:val="28"/>
          <w:szCs w:val="28"/>
          <w:lang w:eastAsia="ru-RU"/>
        </w:rPr>
        <w:t>увеличилось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201</w:t>
      </w:r>
      <w:r w:rsidR="00B90A7D" w:rsidRPr="002313B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на </w:t>
      </w:r>
      <w:r w:rsidR="00B90A7D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89 988,0 тыс. рублей 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на </w:t>
      </w:r>
      <w:r w:rsidR="00B90A7D" w:rsidRPr="002313B7">
        <w:rPr>
          <w:rFonts w:ascii="Times New Roman" w:eastAsia="Times New Roman" w:hAnsi="Times New Roman"/>
          <w:sz w:val="28"/>
          <w:szCs w:val="28"/>
          <w:lang w:eastAsia="ru-RU"/>
        </w:rPr>
        <w:t>13,7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</w:t>
      </w:r>
      <w:r w:rsidR="00B90A7D" w:rsidRPr="002313B7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52A70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>Налоговые и неналоговые доходы бюджета в сравнении с отчетным периодом 201</w:t>
      </w:r>
      <w:r w:rsidR="00B90A7D" w:rsidRPr="002313B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B90A7D" w:rsidRPr="002313B7">
        <w:rPr>
          <w:rFonts w:ascii="Times New Roman" w:eastAsia="Times New Roman" w:hAnsi="Times New Roman"/>
          <w:sz w:val="28"/>
          <w:szCs w:val="28"/>
          <w:lang w:eastAsia="ru-RU"/>
        </w:rPr>
        <w:t>увеличились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B90A7D" w:rsidRPr="002313B7">
        <w:rPr>
          <w:rFonts w:ascii="Times New Roman" w:eastAsia="Times New Roman" w:hAnsi="Times New Roman"/>
          <w:sz w:val="28"/>
          <w:szCs w:val="28"/>
          <w:lang w:eastAsia="ru-RU"/>
        </w:rPr>
        <w:t>18,1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процентов, объем безвозмездных поступлений </w:t>
      </w:r>
      <w:r w:rsidR="00B90A7D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вырос 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B90A7D" w:rsidRPr="002313B7">
        <w:rPr>
          <w:rFonts w:ascii="Times New Roman" w:eastAsia="Times New Roman" w:hAnsi="Times New Roman"/>
          <w:sz w:val="28"/>
          <w:szCs w:val="28"/>
          <w:lang w:eastAsia="ru-RU"/>
        </w:rPr>
        <w:t>12,5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</w:t>
      </w:r>
      <w:r w:rsidR="00B90A7D" w:rsidRPr="002313B7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723D" w:rsidRPr="002313B7" w:rsidRDefault="00B90A7D" w:rsidP="00A7098D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3B7">
        <w:rPr>
          <w:rFonts w:ascii="Times New Roman" w:hAnsi="Times New Roman"/>
          <w:sz w:val="28"/>
          <w:szCs w:val="28"/>
        </w:rPr>
        <w:t xml:space="preserve">              </w:t>
      </w:r>
      <w:r w:rsidR="0013723D" w:rsidRPr="002313B7">
        <w:rPr>
          <w:rFonts w:ascii="Times New Roman" w:eastAsia="Times New Roman" w:hAnsi="Times New Roman"/>
          <w:sz w:val="28"/>
          <w:szCs w:val="28"/>
          <w:lang w:eastAsia="ru-RU"/>
        </w:rPr>
        <w:t>К числу основных доходных источников бюджета в 20</w:t>
      </w:r>
      <w:r w:rsidR="00602BA8" w:rsidRPr="002313B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3723D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по-прежнему относились: налог на доходы физических лиц, единый налог на вмененный доход, </w:t>
      </w:r>
      <w:r w:rsidR="00602BA8" w:rsidRPr="002313B7">
        <w:rPr>
          <w:rFonts w:ascii="Times New Roman" w:eastAsia="Arial Unicode MS" w:hAnsi="Times New Roman"/>
          <w:sz w:val="28"/>
          <w:szCs w:val="28"/>
        </w:rPr>
        <w:t>доходы от арендной платы за земельные участки</w:t>
      </w:r>
      <w:r w:rsidR="00602BA8" w:rsidRPr="002313B7">
        <w:rPr>
          <w:rFonts w:ascii="Times New Roman" w:hAnsi="Times New Roman"/>
          <w:sz w:val="28"/>
          <w:szCs w:val="28"/>
        </w:rPr>
        <w:t xml:space="preserve">, </w:t>
      </w:r>
      <w:r w:rsidR="0013723D" w:rsidRPr="002313B7">
        <w:rPr>
          <w:rFonts w:ascii="Times New Roman" w:eastAsia="Times New Roman" w:hAnsi="Times New Roman"/>
          <w:sz w:val="28"/>
          <w:szCs w:val="28"/>
          <w:lang w:eastAsia="ru-RU"/>
        </w:rPr>
        <w:t>поступление которых по сравнению с 201</w:t>
      </w:r>
      <w:r w:rsidR="00BD07E2" w:rsidRPr="002313B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3723D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также </w:t>
      </w:r>
      <w:r w:rsidR="00BD07E2" w:rsidRPr="002313B7">
        <w:rPr>
          <w:rFonts w:ascii="Times New Roman" w:eastAsia="Times New Roman" w:hAnsi="Times New Roman"/>
          <w:sz w:val="28"/>
          <w:szCs w:val="28"/>
          <w:lang w:eastAsia="ru-RU"/>
        </w:rPr>
        <w:t>увеличилось.</w:t>
      </w:r>
    </w:p>
    <w:p w:rsidR="00F6572B" w:rsidRPr="002313B7" w:rsidRDefault="00F6572B" w:rsidP="00A7098D">
      <w:pPr>
        <w:spacing w:after="0" w:line="264" w:lineRule="auto"/>
        <w:ind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2313B7">
        <w:rPr>
          <w:rFonts w:ascii="Times New Roman" w:hAnsi="Times New Roman"/>
          <w:sz w:val="28"/>
          <w:szCs w:val="28"/>
        </w:rPr>
        <w:t>Увеличение объемов поступлений налога на доходы физических лиц сложилось по причине роста поступлений указанного налога от крупных налогоплательщиков, в том числе ЗАО «Куриное царство-Брянск», ФКУ «ЕРЦ МО РФ», ФГУП «Московский эндокринный завод», расположенных на территории района.</w:t>
      </w:r>
    </w:p>
    <w:p w:rsidR="006F3FE0" w:rsidRPr="002313B7" w:rsidRDefault="006F3FE0" w:rsidP="00A7098D">
      <w:pPr>
        <w:spacing w:after="0" w:line="264" w:lineRule="auto"/>
        <w:ind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2313B7">
        <w:rPr>
          <w:rFonts w:ascii="Times New Roman" w:hAnsi="Times New Roman"/>
          <w:sz w:val="28"/>
          <w:szCs w:val="28"/>
        </w:rPr>
        <w:t xml:space="preserve">Выполнение плановых назначений по 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>единому налогу на вмененный доход</w:t>
      </w:r>
      <w:r w:rsidRPr="002313B7">
        <w:rPr>
          <w:rFonts w:ascii="Times New Roman" w:hAnsi="Times New Roman"/>
          <w:sz w:val="28"/>
          <w:szCs w:val="28"/>
        </w:rPr>
        <w:t xml:space="preserve"> обеспечено в основном своевременной уплатой рядом налогоплательщиков налога и гашением задолженности в результате проводимой работы, направленной на снижение недоимки.</w:t>
      </w:r>
    </w:p>
    <w:p w:rsidR="00401B9A" w:rsidRPr="002313B7" w:rsidRDefault="00401B9A" w:rsidP="00A7098D">
      <w:pPr>
        <w:spacing w:after="0" w:line="264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3B7">
        <w:rPr>
          <w:rFonts w:ascii="Times New Roman" w:hAnsi="Times New Roman"/>
          <w:sz w:val="28"/>
          <w:szCs w:val="28"/>
        </w:rPr>
        <w:t xml:space="preserve">Рост </w:t>
      </w:r>
      <w:r w:rsidRPr="002313B7">
        <w:rPr>
          <w:rFonts w:ascii="Times New Roman" w:eastAsia="Arial Unicode MS" w:hAnsi="Times New Roman"/>
          <w:sz w:val="28"/>
          <w:szCs w:val="28"/>
        </w:rPr>
        <w:t>доходов от арендной платы за земельные участки</w:t>
      </w:r>
      <w:r w:rsidRPr="002313B7">
        <w:rPr>
          <w:rFonts w:ascii="Times New Roman" w:hAnsi="Times New Roman"/>
          <w:sz w:val="28"/>
          <w:szCs w:val="28"/>
        </w:rPr>
        <w:t>, сложился в связи с поступлением кредиторской задолженности прошлых лет от крупнейших налогоплательщиков.</w:t>
      </w:r>
    </w:p>
    <w:p w:rsidR="0013723D" w:rsidRPr="002313B7" w:rsidRDefault="0013723D" w:rsidP="00A7098D">
      <w:pPr>
        <w:spacing w:after="0" w:line="264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>Необходимо отметить отсутствие поступлений части прибыли от использования имущества муниципальных предприятий. Данному обстоятельству способствовала убыточная деятельность унитарных предприятий по итогам 201</w:t>
      </w:r>
      <w:r w:rsidR="00F6572B" w:rsidRPr="002313B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  <w:r w:rsidR="002D3801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>Прогнозный план приватизации имущества района на 20</w:t>
      </w:r>
      <w:r w:rsidR="00F6572B" w:rsidRPr="002313B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не выполнен. Поступления в бюджет от приватизации отсутствуют. Необходимо отметить, что прогнозный план приватизации не выполняется на протяжении последних </w:t>
      </w:r>
      <w:r w:rsidR="00F6572B" w:rsidRPr="002313B7">
        <w:rPr>
          <w:rFonts w:ascii="Times New Roman" w:eastAsia="Times New Roman" w:hAnsi="Times New Roman"/>
          <w:sz w:val="28"/>
          <w:szCs w:val="28"/>
          <w:lang w:eastAsia="ru-RU"/>
        </w:rPr>
        <w:t>пяти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лет.</w:t>
      </w:r>
    </w:p>
    <w:p w:rsidR="00F6572B" w:rsidRPr="002313B7" w:rsidRDefault="00F6572B" w:rsidP="00A7098D">
      <w:pPr>
        <w:spacing w:after="0" w:line="264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>Доходная часть бюджета исполнена в сумме 743 415,1 тыс</w:t>
      </w:r>
      <w:r w:rsidRPr="002313B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> рублей, что составляет 88,2 процента от плана.</w:t>
      </w:r>
    </w:p>
    <w:p w:rsidR="0013723D" w:rsidRPr="002313B7" w:rsidRDefault="0013723D" w:rsidP="00A7098D">
      <w:pPr>
        <w:spacing w:after="0" w:line="264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>Необходимо отметить, что, несмотря на корректировку в течение 20</w:t>
      </w:r>
      <w:r w:rsidR="00F6572B" w:rsidRPr="002313B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плановых назначений по отдельным видам неналоговых доходов, объём поступлений неналоговых доходов превысил плановые назначения, что в очередной раз характеризует неудовлетворительное качество планирования данных доходов главными администраторами доходов как при подготовке проекта бюджета Почепского района на очередной финансовый год и плановый период, так и при исполнении бюджета Почепского района в отчётном финансовом году.</w:t>
      </w:r>
    </w:p>
    <w:p w:rsidR="0013723D" w:rsidRPr="002313B7" w:rsidRDefault="0013723D" w:rsidP="00A7098D">
      <w:pPr>
        <w:spacing w:after="0" w:line="264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периоде из бюджета Брянской области не в полном объеме поступили запланированные </w:t>
      </w:r>
      <w:r w:rsidR="0013148F" w:rsidRPr="002313B7">
        <w:rPr>
          <w:rFonts w:ascii="Times New Roman" w:hAnsi="Times New Roman"/>
          <w:sz w:val="28"/>
          <w:szCs w:val="28"/>
        </w:rPr>
        <w:t xml:space="preserve">субсидии бюджетам муниципальных районов на реализацию мероприятий по организации бесплатного горячего питания </w:t>
      </w:r>
      <w:r w:rsidR="0013148F" w:rsidRPr="002313B7">
        <w:rPr>
          <w:rFonts w:ascii="Times New Roman" w:hAnsi="Times New Roman"/>
          <w:sz w:val="28"/>
          <w:szCs w:val="28"/>
        </w:rPr>
        <w:lastRenderedPageBreak/>
        <w:t>обучающихся, получающих начальное общее образование в муниципальных образовательных организациях в рамках государственной программы "Развитие образования и науки Брянской области"</w:t>
      </w:r>
      <w:r w:rsidR="0013148F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3148F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84,2 процентов плановых назначений), </w:t>
      </w:r>
      <w:r w:rsidR="0013148F" w:rsidRPr="002313B7">
        <w:rPr>
          <w:rFonts w:ascii="Times New Roman" w:hAnsi="Times New Roman"/>
          <w:sz w:val="28"/>
          <w:szCs w:val="28"/>
        </w:rPr>
        <w:t xml:space="preserve">субсидии бюджетам муниципальных районов на организацию отдыха детей в каникулярное время в лагерях  с дневным пребыванием на базе образовательных организаций, учреждений физической культуры и спорта </w:t>
      </w:r>
      <w:r w:rsidR="0013148F" w:rsidRPr="002313B7">
        <w:rPr>
          <w:rFonts w:ascii="Times New Roman" w:eastAsia="Times New Roman" w:hAnsi="Times New Roman"/>
          <w:sz w:val="28"/>
          <w:szCs w:val="28"/>
          <w:lang w:eastAsia="ru-RU"/>
        </w:rPr>
        <w:t>(15,8 процентов плановых назначений).</w:t>
      </w:r>
      <w:r w:rsidR="002242DF" w:rsidRPr="002313B7">
        <w:rPr>
          <w:rFonts w:ascii="Times New Roman" w:hAnsi="Times New Roman"/>
          <w:sz w:val="28"/>
          <w:szCs w:val="28"/>
        </w:rPr>
        <w:t xml:space="preserve"> </w:t>
      </w:r>
      <w:r w:rsidR="004D359C" w:rsidRPr="002313B7">
        <w:rPr>
          <w:rFonts w:ascii="Times New Roman" w:eastAsia="Times New Roman" w:hAnsi="Times New Roman"/>
          <w:sz w:val="28"/>
          <w:szCs w:val="28"/>
          <w:lang w:eastAsia="ru-RU"/>
        </w:rPr>
        <w:t>Не поступление указанных субсидий в полном объеме обусловлено в основном</w:t>
      </w:r>
      <w:r w:rsidR="002242DF" w:rsidRPr="002313B7">
        <w:rPr>
          <w:rFonts w:ascii="Times New Roman" w:hAnsi="Times New Roman"/>
          <w:sz w:val="28"/>
          <w:szCs w:val="28"/>
        </w:rPr>
        <w:t xml:space="preserve"> отменой проведения школьных занятий, физкультурных и спортивных мероприятий в каникулярное время на территории Брянской области в условиях распространения новой </w:t>
      </w:r>
      <w:proofErr w:type="spellStart"/>
      <w:r w:rsidR="002242DF" w:rsidRPr="002313B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2242DF" w:rsidRPr="002313B7">
        <w:rPr>
          <w:rFonts w:ascii="Times New Roman" w:hAnsi="Times New Roman"/>
          <w:sz w:val="28"/>
          <w:szCs w:val="28"/>
        </w:rPr>
        <w:t xml:space="preserve"> инфекции COVID-19.</w:t>
      </w:r>
    </w:p>
    <w:p w:rsidR="0013723D" w:rsidRPr="002313B7" w:rsidRDefault="0013723D" w:rsidP="00A7098D">
      <w:pPr>
        <w:spacing w:after="0" w:line="264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>По итогам 20</w:t>
      </w:r>
      <w:r w:rsidR="008F3492" w:rsidRPr="002313B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план по расходам бюджета исполнен на </w:t>
      </w:r>
      <w:r w:rsidR="008F3492" w:rsidRPr="002313B7">
        <w:rPr>
          <w:rFonts w:ascii="Times New Roman" w:eastAsia="Times New Roman" w:hAnsi="Times New Roman"/>
          <w:sz w:val="28"/>
          <w:szCs w:val="28"/>
          <w:lang w:eastAsia="ru-RU"/>
        </w:rPr>
        <w:t>84,0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="008F3492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(снижение уровня исполнения по отношению к предшествующему отчетному периоду составило более 13,0 процентов).</w:t>
      </w:r>
    </w:p>
    <w:p w:rsidR="0013723D" w:rsidRPr="002313B7" w:rsidRDefault="0013723D" w:rsidP="00A7098D">
      <w:pPr>
        <w:spacing w:after="0" w:line="264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>Более 99 процентов общего объема расходов отчетного периода производилось в рамках реализации 1</w:t>
      </w:r>
      <w:r w:rsidR="00313559" w:rsidRPr="002313B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Почепского района. Исполнение по муниципальным программам сложилось на </w:t>
      </w:r>
      <w:r w:rsidR="00313559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достаточно 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>высоком уровне.</w:t>
      </w:r>
    </w:p>
    <w:p w:rsidR="0013723D" w:rsidRPr="002313B7" w:rsidRDefault="0013723D" w:rsidP="00A7098D">
      <w:pPr>
        <w:spacing w:after="0" w:line="264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главная цель перехода к программному способу бюджетирования — это необходимость не просто кассового исполнения, а достижение соответствующих качественных результатов. В 2019 году из </w:t>
      </w:r>
      <w:r w:rsidR="0060160E" w:rsidRPr="002313B7"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установленных значений показателей реализации мероприятий муниципальных программ Почепского района не достигнуто значение </w:t>
      </w:r>
      <w:r w:rsidR="007D7D51" w:rsidRPr="002313B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 (</w:t>
      </w:r>
      <w:r w:rsidR="0060160E" w:rsidRPr="002313B7">
        <w:rPr>
          <w:rFonts w:ascii="Times New Roman" w:eastAsia="Times New Roman" w:hAnsi="Times New Roman"/>
          <w:sz w:val="28"/>
          <w:szCs w:val="28"/>
          <w:lang w:eastAsia="ru-RU"/>
        </w:rPr>
        <w:t>14,9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процентов).</w:t>
      </w:r>
    </w:p>
    <w:p w:rsidR="0013723D" w:rsidRPr="002313B7" w:rsidRDefault="0013723D" w:rsidP="00A7098D">
      <w:pPr>
        <w:spacing w:after="0" w:line="264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>Установлено неэффективное (неэкономное, безрезультативное) использование бюджетных средств за 20</w:t>
      </w:r>
      <w:r w:rsidR="00D01C02" w:rsidRPr="002313B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D01C02" w:rsidRPr="002313B7">
        <w:rPr>
          <w:rFonts w:ascii="Times New Roman" w:eastAsia="Times New Roman" w:hAnsi="Times New Roman"/>
          <w:sz w:val="28"/>
          <w:szCs w:val="28"/>
          <w:lang w:eastAsia="ru-RU"/>
        </w:rPr>
        <w:t>260,3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выразившееся в уплате судебных решений в отношении бюджета Почепского района.</w:t>
      </w:r>
    </w:p>
    <w:p w:rsidR="0013723D" w:rsidRPr="002313B7" w:rsidRDefault="0013723D" w:rsidP="00A7098D">
      <w:pPr>
        <w:spacing w:after="0" w:line="264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>Нецелевых расходов бюджета не выявлено.</w:t>
      </w:r>
    </w:p>
    <w:p w:rsidR="0013723D" w:rsidRPr="002313B7" w:rsidRDefault="0013723D" w:rsidP="00A7098D">
      <w:pPr>
        <w:spacing w:after="0" w:line="264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> В результате исполнения бюджета за 2019 год сложился </w:t>
      </w:r>
      <w:r w:rsidRPr="002313B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профицит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 в сумме </w:t>
      </w:r>
      <w:r w:rsidR="00AC7EE9" w:rsidRPr="002313B7">
        <w:rPr>
          <w:rFonts w:ascii="Times New Roman" w:eastAsia="Times New Roman" w:hAnsi="Times New Roman"/>
          <w:sz w:val="28"/>
          <w:szCs w:val="28"/>
          <w:lang w:eastAsia="ru-RU"/>
        </w:rPr>
        <w:t>16 185,1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  <w:r w:rsidR="0076210E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Остатки бюджетных средств на счетах бюджета района составили почти </w:t>
      </w:r>
      <w:r w:rsidR="002313B7">
        <w:rPr>
          <w:rFonts w:ascii="Times New Roman" w:eastAsia="Times New Roman" w:hAnsi="Times New Roman"/>
          <w:sz w:val="28"/>
          <w:szCs w:val="28"/>
          <w:lang w:eastAsia="ru-RU"/>
        </w:rPr>
        <w:t>34 277,2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Наличие по итогам исполнения 20</w:t>
      </w:r>
      <w:r w:rsidR="004E767F" w:rsidRPr="002313B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бюджете остатков временно свободных средств можно рассматривать как «подушку безопасности» на случай непредвиденного сокращения доходов.</w:t>
      </w:r>
    </w:p>
    <w:p w:rsidR="00A34EBD" w:rsidRPr="002313B7" w:rsidRDefault="00A34EBD" w:rsidP="00A7098D">
      <w:pPr>
        <w:spacing w:after="0" w:line="264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68C" w:rsidRPr="002313B7" w:rsidRDefault="00EF668C" w:rsidP="00A7098D">
      <w:pPr>
        <w:spacing w:after="0" w:line="264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68C" w:rsidRPr="002313B7" w:rsidRDefault="00EF668C" w:rsidP="002D3801">
      <w:pPr>
        <w:spacing w:after="0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68C" w:rsidRPr="002313B7" w:rsidRDefault="00EF668C" w:rsidP="002D3801">
      <w:pPr>
        <w:spacing w:after="0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EBD" w:rsidRPr="002313B7" w:rsidRDefault="00A34EBD" w:rsidP="002D3801">
      <w:pPr>
        <w:spacing w:after="0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A34EBD" w:rsidRPr="002313B7" w:rsidRDefault="00A34EBD" w:rsidP="002D3801">
      <w:pPr>
        <w:spacing w:after="0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палаты </w:t>
      </w:r>
    </w:p>
    <w:p w:rsidR="00A34EBD" w:rsidRPr="002313B7" w:rsidRDefault="00A34EBD" w:rsidP="002D3801">
      <w:pPr>
        <w:spacing w:after="0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>Почепского района                                                          Л.И. Молодожен</w:t>
      </w:r>
    </w:p>
    <w:p w:rsidR="0013723D" w:rsidRPr="002313B7" w:rsidRDefault="0013723D" w:rsidP="002D3801">
      <w:pPr>
        <w:spacing w:after="0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</w:p>
    <w:p w:rsidR="0013723D" w:rsidRPr="002313B7" w:rsidRDefault="0013723D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D3801" w:rsidRPr="002313B7" w:rsidRDefault="002D3801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D3801" w:rsidRPr="002313B7" w:rsidSect="0002335E">
      <w:headerReference w:type="default" r:id="rId7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5C5" w:rsidRDefault="001B75C5" w:rsidP="00840170">
      <w:pPr>
        <w:spacing w:after="0" w:line="240" w:lineRule="auto"/>
      </w:pPr>
      <w:r>
        <w:separator/>
      </w:r>
    </w:p>
  </w:endnote>
  <w:endnote w:type="continuationSeparator" w:id="0">
    <w:p w:rsidR="001B75C5" w:rsidRDefault="001B75C5" w:rsidP="0084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5C5" w:rsidRDefault="001B75C5" w:rsidP="00840170">
      <w:pPr>
        <w:spacing w:after="0" w:line="240" w:lineRule="auto"/>
      </w:pPr>
      <w:r>
        <w:separator/>
      </w:r>
    </w:p>
  </w:footnote>
  <w:footnote w:type="continuationSeparator" w:id="0">
    <w:p w:rsidR="001B75C5" w:rsidRDefault="001B75C5" w:rsidP="00840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D9" w:rsidRPr="00561BDC" w:rsidRDefault="0000294A">
    <w:pPr>
      <w:pStyle w:val="a8"/>
      <w:jc w:val="center"/>
      <w:rPr>
        <w:rFonts w:ascii="Times New Roman" w:hAnsi="Times New Roman"/>
        <w:sz w:val="28"/>
        <w:szCs w:val="28"/>
      </w:rPr>
    </w:pPr>
    <w:r w:rsidRPr="00561BDC">
      <w:rPr>
        <w:rFonts w:ascii="Times New Roman" w:hAnsi="Times New Roman"/>
        <w:sz w:val="28"/>
        <w:szCs w:val="28"/>
      </w:rPr>
      <w:fldChar w:fldCharType="begin"/>
    </w:r>
    <w:r w:rsidRPr="00561BDC">
      <w:rPr>
        <w:rFonts w:ascii="Times New Roman" w:hAnsi="Times New Roman"/>
        <w:sz w:val="28"/>
        <w:szCs w:val="28"/>
      </w:rPr>
      <w:instrText>PAGE   \* MERGEFORMAT</w:instrText>
    </w:r>
    <w:r w:rsidRPr="00561BDC">
      <w:rPr>
        <w:rFonts w:ascii="Times New Roman" w:hAnsi="Times New Roman"/>
        <w:sz w:val="28"/>
        <w:szCs w:val="28"/>
      </w:rPr>
      <w:fldChar w:fldCharType="separate"/>
    </w:r>
    <w:r w:rsidR="00A7098D">
      <w:rPr>
        <w:rFonts w:ascii="Times New Roman" w:hAnsi="Times New Roman"/>
        <w:noProof/>
        <w:sz w:val="28"/>
        <w:szCs w:val="28"/>
      </w:rPr>
      <w:t>4</w:t>
    </w:r>
    <w:r w:rsidRPr="00561BD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A583D"/>
    <w:multiLevelType w:val="hybridMultilevel"/>
    <w:tmpl w:val="EC6CA66A"/>
    <w:lvl w:ilvl="0" w:tplc="93F6A8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1F4C15"/>
    <w:multiLevelType w:val="hybridMultilevel"/>
    <w:tmpl w:val="3CCCA964"/>
    <w:lvl w:ilvl="0" w:tplc="06DA4A64">
      <w:start w:val="2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AE721B"/>
    <w:multiLevelType w:val="multilevel"/>
    <w:tmpl w:val="E0745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43"/>
    <w:rsid w:val="0000294A"/>
    <w:rsid w:val="0005577C"/>
    <w:rsid w:val="00113B5E"/>
    <w:rsid w:val="00126A12"/>
    <w:rsid w:val="0013148F"/>
    <w:rsid w:val="0013723D"/>
    <w:rsid w:val="001B75C5"/>
    <w:rsid w:val="002242DF"/>
    <w:rsid w:val="002313B7"/>
    <w:rsid w:val="002D3801"/>
    <w:rsid w:val="002E3BA9"/>
    <w:rsid w:val="0031073E"/>
    <w:rsid w:val="00313559"/>
    <w:rsid w:val="00317E72"/>
    <w:rsid w:val="00401B9A"/>
    <w:rsid w:val="004D359C"/>
    <w:rsid w:val="004D3DFA"/>
    <w:rsid w:val="004E2AFC"/>
    <w:rsid w:val="004E767F"/>
    <w:rsid w:val="004F3C87"/>
    <w:rsid w:val="00527447"/>
    <w:rsid w:val="0054392D"/>
    <w:rsid w:val="00550C2F"/>
    <w:rsid w:val="00596136"/>
    <w:rsid w:val="005A4BA4"/>
    <w:rsid w:val="005E090B"/>
    <w:rsid w:val="005F505A"/>
    <w:rsid w:val="0060160E"/>
    <w:rsid w:val="00602BA8"/>
    <w:rsid w:val="00652A70"/>
    <w:rsid w:val="006959B4"/>
    <w:rsid w:val="006F3FE0"/>
    <w:rsid w:val="0076210E"/>
    <w:rsid w:val="0078490C"/>
    <w:rsid w:val="007A0C30"/>
    <w:rsid w:val="007C640D"/>
    <w:rsid w:val="007D7D51"/>
    <w:rsid w:val="007F5C8D"/>
    <w:rsid w:val="007F75C8"/>
    <w:rsid w:val="00840170"/>
    <w:rsid w:val="008466FA"/>
    <w:rsid w:val="008543B5"/>
    <w:rsid w:val="008B2020"/>
    <w:rsid w:val="008E2D81"/>
    <w:rsid w:val="008F3492"/>
    <w:rsid w:val="009C1313"/>
    <w:rsid w:val="009C199F"/>
    <w:rsid w:val="00A24197"/>
    <w:rsid w:val="00A33951"/>
    <w:rsid w:val="00A34EBD"/>
    <w:rsid w:val="00A7098D"/>
    <w:rsid w:val="00AC7EE9"/>
    <w:rsid w:val="00AE17F4"/>
    <w:rsid w:val="00B37FD2"/>
    <w:rsid w:val="00B85B38"/>
    <w:rsid w:val="00B90A7D"/>
    <w:rsid w:val="00BD07E2"/>
    <w:rsid w:val="00BD4EAC"/>
    <w:rsid w:val="00BE616A"/>
    <w:rsid w:val="00C34034"/>
    <w:rsid w:val="00C46220"/>
    <w:rsid w:val="00C76243"/>
    <w:rsid w:val="00CA16D5"/>
    <w:rsid w:val="00CC4172"/>
    <w:rsid w:val="00CE0C7B"/>
    <w:rsid w:val="00CE55E0"/>
    <w:rsid w:val="00D01C02"/>
    <w:rsid w:val="00D17A15"/>
    <w:rsid w:val="00D638D6"/>
    <w:rsid w:val="00D73BE3"/>
    <w:rsid w:val="00D777D2"/>
    <w:rsid w:val="00DA0607"/>
    <w:rsid w:val="00DB2C92"/>
    <w:rsid w:val="00DC6542"/>
    <w:rsid w:val="00E06A2D"/>
    <w:rsid w:val="00E211A6"/>
    <w:rsid w:val="00E3023D"/>
    <w:rsid w:val="00E66B34"/>
    <w:rsid w:val="00E90F4F"/>
    <w:rsid w:val="00EF668C"/>
    <w:rsid w:val="00F6572B"/>
    <w:rsid w:val="00F95E86"/>
    <w:rsid w:val="00F97224"/>
    <w:rsid w:val="00FD7608"/>
    <w:rsid w:val="00FD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BB5BD-9D4F-45A9-AD0A-F28BB88D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60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0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84017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84017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4">
    <w:name w:val="footnote text"/>
    <w:aliases w:val="Footnote Text Char,Знак2, Знак2,Знак,Текст сноски НИВ, Знак Знак Знак Знак,Текст сноски Знак Знак, Знак,fn,Знак Знак Знак Знак,Текст сноски-FN,Footnote Text Char Знак Знак,Table_Footnote_last,Oaeno niinee-FN,Oaeno niinee Ciae,Текст сноски1"/>
    <w:basedOn w:val="a"/>
    <w:link w:val="a5"/>
    <w:uiPriority w:val="99"/>
    <w:unhideWhenUsed/>
    <w:qFormat/>
    <w:rsid w:val="0084017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,Знак2 Знак, Знак2 Знак,Знак Знак,Текст сноски НИВ Знак, Знак Знак Знак Знак Знак,Текст сноски Знак Знак Знак, Знак Знак,fn Знак,Знак Знак Знак Знак Знак,Текст сноски-FN Знак,Footnote Text Char Знак Знак Знак"/>
    <w:basedOn w:val="a0"/>
    <w:link w:val="a4"/>
    <w:uiPriority w:val="99"/>
    <w:rsid w:val="00840170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aliases w:val="текст сноски,анкета сноска,Знак сноски-FN,Ciae niinee-FN,Знак сноски 1,Ciae niinee 1,fr,Used by Word for Help footnote symbols,Avg - Знак сноски,avg-Знак сноски,Referencia nota al pie,ООО Знак сноски,СНОСКА,сноска1,ftref,Avg,вески,ХИА_ЗС"/>
    <w:uiPriority w:val="99"/>
    <w:unhideWhenUsed/>
    <w:qFormat/>
    <w:rsid w:val="00840170"/>
    <w:rPr>
      <w:vertAlign w:val="superscript"/>
    </w:rPr>
  </w:style>
  <w:style w:type="paragraph" w:styleId="a7">
    <w:name w:val="No Spacing"/>
    <w:uiPriority w:val="1"/>
    <w:qFormat/>
    <w:rsid w:val="008401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A0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DA0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607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C41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Strong"/>
    <w:basedOn w:val="a0"/>
    <w:uiPriority w:val="22"/>
    <w:qFormat/>
    <w:rsid w:val="00137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70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404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582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0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dcterms:created xsi:type="dcterms:W3CDTF">2020-08-21T14:22:00Z</dcterms:created>
  <dcterms:modified xsi:type="dcterms:W3CDTF">2021-05-31T07:27:00Z</dcterms:modified>
</cp:coreProperties>
</file>