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DA0607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F75C8">
        <w:rPr>
          <w:rFonts w:ascii="Times New Roman" w:eastAsia="Arial Unicode MS" w:hAnsi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2019 год»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7F75C8" w:rsidRPr="007F75C8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E211A6" w:rsidRPr="00843283" w:rsidRDefault="00E211A6" w:rsidP="00E211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283">
        <w:rPr>
          <w:rFonts w:ascii="Times New Roman" w:hAnsi="Times New Roman"/>
          <w:color w:val="000000"/>
          <w:sz w:val="28"/>
          <w:szCs w:val="28"/>
        </w:rPr>
        <w:t>Экспертно-аналитическ</w:t>
      </w:r>
      <w:r w:rsidR="005A4BA4">
        <w:rPr>
          <w:rFonts w:ascii="Times New Roman" w:hAnsi="Times New Roman"/>
          <w:color w:val="000000"/>
          <w:sz w:val="28"/>
          <w:szCs w:val="28"/>
        </w:rPr>
        <w:t>ое</w:t>
      </w:r>
      <w:r w:rsidRPr="0084328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5A4BA4">
        <w:rPr>
          <w:rFonts w:ascii="Times New Roman" w:hAnsi="Times New Roman"/>
          <w:color w:val="000000"/>
          <w:sz w:val="28"/>
          <w:szCs w:val="28"/>
        </w:rPr>
        <w:t>е</w:t>
      </w:r>
      <w:r w:rsidRPr="00843283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 w:rsidR="005A4BA4">
        <w:rPr>
          <w:rFonts w:ascii="Times New Roman" w:hAnsi="Times New Roman"/>
          <w:color w:val="000000"/>
          <w:sz w:val="28"/>
          <w:szCs w:val="28"/>
        </w:rPr>
        <w:t>о</w:t>
      </w:r>
      <w:r w:rsidRPr="00843283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</w:t>
      </w:r>
      <w:r>
        <w:rPr>
          <w:rFonts w:ascii="Times New Roman" w:hAnsi="Times New Roman"/>
          <w:color w:val="000000"/>
          <w:sz w:val="28"/>
          <w:szCs w:val="28"/>
        </w:rPr>
        <w:t>ом 1.3.1</w:t>
      </w:r>
      <w:r w:rsidRPr="00843283">
        <w:rPr>
          <w:rFonts w:ascii="Times New Roman" w:hAnsi="Times New Roman"/>
          <w:color w:val="000000"/>
          <w:sz w:val="28"/>
          <w:szCs w:val="28"/>
        </w:rPr>
        <w:t xml:space="preserve"> плана работы Контрольно-счетной палаты Почепского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843283">
        <w:rPr>
          <w:rFonts w:ascii="Times New Roman" w:hAnsi="Times New Roman"/>
          <w:color w:val="000000"/>
          <w:sz w:val="28"/>
          <w:szCs w:val="28"/>
        </w:rPr>
        <w:t xml:space="preserve">год. 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утвержденным решением Почепского районного Совета народных депутатов от 13.02.2017 № 223 Порядком составления, рассмотрения и утверждения районного бюджета, а также порядке представления, рассмотрения и утверждения отчетности об исполнении районного бюджета и его внешней проверки, Контрольно-счетной палатой</w:t>
      </w:r>
      <w:r w:rsidR="00FD7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Почепского района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внешняя проверка годовой бюджетной отчетности всех 6 главных распорядителей бюджетных средств, на основании которой было подготовлено заключение на отчет об исполнении бюджета Почепского муниципального района за 2019 год и представлено в </w:t>
      </w:r>
      <w:proofErr w:type="spellStart"/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Почепский</w:t>
      </w:r>
      <w:proofErr w:type="spellEnd"/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Совет народных депутатов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Проверкой установлено, что всеми главными администраторами средств бюджета сформирована в полном объеме и представлена в финансовое управление администрации Почепского района без нарушений установленных сроков надлежаще оформленная годовая финансовая отчетность за 2019 год.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формах бюджетной отчетности четырех главных администраторов бюджетных средств (отдел культуры, отдел образования, финансовое управление, администрация Почепского района) выявлены факты неверного отражения отдельных показателей, в связи с чем в адрес руководителей направлены представления.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Необоснованные показатели не повлияли на достоверность в целом отчета об исполнении бюджета за 2019 год.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 году поступление доходов бюджета снизилось по сравнению с 2018 годом почти на 30,0 млн. рублей или на 4,4 процента.</w:t>
      </w:r>
      <w:r w:rsidR="00652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Налоговые и неналоговые доходы бюджета в сравнении с отчетным периодом 2018 года уменьшились на 7,7 процентов, объем безвозмездных поступлений снизился на 3,4 процента.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числу основных доходных источников бюджета в 2019 году по-прежнему относились: налог на доходы физических лиц, единый налог на вмененный доход, поступление которых по сравнению с 2018 годом также снизилось.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Доходная часть бюджета исполнена в сумме 653 427,1 тыс</w:t>
      </w:r>
      <w:r w:rsidRPr="0013723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рублей, что составляет 99,4 процента от плана.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Отдельного внимания заслуживают неналоговые доходные поступления. Сумма полученных неналоговых доходов в отчетном году составила 7 227,9 тыс. рублей. При этом, основную сумму поступлений рублей составили доходы от использования имущества, находящегося в муниципальной собственности.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отметить отсутствие поступлений части прибыли от использования имущества муниципальных предприятий. Данному обстоятельству способствовала убыточная деятельность унитарных предприятий по итогам 2018 года.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Прогнозный план приватизации имущества района на 2019 год не выполнен. Поступления в бюджет от приватизации отсутствуют. Необходимо отметить, что прогнозный план приватизации не выполняется на протяжении последних четырех лет.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отметить, что, несмотря на корректировку в течение 2019 года плановых назначений по отдельным видам неналоговых доходов, объём поступлений неналоговых доходов превысил плановые назначения, что в очередной раз характеризует неудовлетворительное качество планирования данных доходов главными администраторами доходов как при подготовке проекта бюджета Почепского района на очередной финансовый год и плановый период, так и при исполнении бюджета Почепского района в отчётном финансовом году.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периоде из бюджета Брянской области не в полном объеме поступили запланированные субвенции на организацию и осуществление деятельности по опеке и попечительству, выплату ежемесячных средств на содержание и проезд ребенка, переданного на воспитание в приемную семью (87,5 процентов плановых назначений).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поступление указанной субвенции в полном объеме обусловлено в основном условиями соглашений, согласно которым поступление денежных средств осуществляется на основании заявок по фактическим расходам и предоставлением подтверждающих документов, связанных с исполнением расходных обязательств.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протяжении двух лет исполнение бюджета Почепского района по расходам осуществляется практически на одном достаточно высоком уровне.</w:t>
      </w:r>
      <w:r w:rsidR="00652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2019 года план по расходам бюджета исполнен на 97,1 процента.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99 процентов общего объема расходов отчетного периода производилось в рамках реализации 12 муниципальных программ Почепского района. Исполнение по муниципальным программам сложилось на высоком уровне.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тем, главная цель перехода к программному способу бюджетирования — это необходимость не просто кассового исполнения, а достижение соответствующих качественных результатов. В 2019 году из 49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установленных значений показателей реализации мероприятий муниципальных программ Почепского района не достигнуто значение 6 показателей (12,2 процентов).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положительного момента отчетного периода необходимо отметить снижение объемов дебиторской задолженности по расчетам с бюджетом. По состоянию на 01.01.2020 года задолженность снизилась на 656,2 тыс. рублей и составила 7,6 тыс. рублей.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в отчетном периоде недоимка по доходам от собственности выросла 2 216,2 тыс. рублей по сравнением с 2018 годом.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факт свидетельствует об отсутствии (недостаточности) мер, принимаемых главным администратором доходов – администрацией Почепского района по обеспечению взыскания задолженности по платежам в местный бюджет.</w:t>
      </w:r>
      <w:r w:rsidR="002D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Контрольно-счетная палата отмечает, что взыскание задолженности по указанным платежам является неиспользованным резервом пополнения доходной части бюджета.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Выборочно проверено соблюдение главными распорядителями и учреждениями требований законодательства о контрактной системе закупок товаров, работ, услуг в 2019 году, выявлены отдельные недостатки в деятельности муниципальных заказчиков.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неэффективное (неэкономное, безрезультативное) использование бюджетных средств за 2019 год в сумме 24,0 тыс. рублей, выразившееся в уплате судебных решений в отношении бюджета Почепского района.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Нецелевых расходов бюджета не выявлено.</w:t>
      </w:r>
    </w:p>
    <w:p w:rsid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результате исполнения бюджета за 2019 год сложился </w:t>
      </w:r>
      <w:r w:rsidRPr="0013723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профицит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сумме 329,0 тыс. рублей.</w:t>
      </w:r>
      <w:r w:rsidR="00762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Остатки бюджетных средств на счетах бюджета района составили почти 22 631,2 тыс. рублей. Наличие по итогам исполнения 2019 года в бюджете остатков временно свободных средств можно рассматривать как «подушку безопасности» на случай непредвиденного сокращения доходов.</w:t>
      </w:r>
    </w:p>
    <w:p w:rsidR="00A34EBD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68C" w:rsidRDefault="00EF668C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68C" w:rsidRDefault="00EF668C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68C" w:rsidRDefault="00EF668C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4EBD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A34EBD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</w:p>
    <w:p w:rsidR="00A34EBD" w:rsidRPr="0013723D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 района                                                          Л.И. Молодожен</w:t>
      </w:r>
    </w:p>
    <w:p w:rsidR="0013723D" w:rsidRPr="0013723D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3723D" w:rsidRDefault="0013723D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801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3801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20" w:rsidRDefault="008B2020" w:rsidP="00840170">
      <w:pPr>
        <w:spacing w:after="0" w:line="240" w:lineRule="auto"/>
      </w:pPr>
      <w:r>
        <w:separator/>
      </w:r>
    </w:p>
  </w:endnote>
  <w:endnote w:type="continuationSeparator" w:id="0">
    <w:p w:rsidR="008B2020" w:rsidRDefault="008B2020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20" w:rsidRDefault="008B2020" w:rsidP="00840170">
      <w:pPr>
        <w:spacing w:after="0" w:line="240" w:lineRule="auto"/>
      </w:pPr>
      <w:r>
        <w:separator/>
      </w:r>
    </w:p>
  </w:footnote>
  <w:footnote w:type="continuationSeparator" w:id="0">
    <w:p w:rsidR="008B2020" w:rsidRDefault="008B2020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F97224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577C"/>
    <w:rsid w:val="00113B5E"/>
    <w:rsid w:val="00126A12"/>
    <w:rsid w:val="0013723D"/>
    <w:rsid w:val="002D3801"/>
    <w:rsid w:val="002E3BA9"/>
    <w:rsid w:val="0031073E"/>
    <w:rsid w:val="00317E72"/>
    <w:rsid w:val="004D3DFA"/>
    <w:rsid w:val="004E2AFC"/>
    <w:rsid w:val="004F3C87"/>
    <w:rsid w:val="00527447"/>
    <w:rsid w:val="00550C2F"/>
    <w:rsid w:val="005A4BA4"/>
    <w:rsid w:val="005F505A"/>
    <w:rsid w:val="00652A70"/>
    <w:rsid w:val="006959B4"/>
    <w:rsid w:val="0076210E"/>
    <w:rsid w:val="007A0C30"/>
    <w:rsid w:val="007C640D"/>
    <w:rsid w:val="007F5C8D"/>
    <w:rsid w:val="007F75C8"/>
    <w:rsid w:val="00840170"/>
    <w:rsid w:val="008466FA"/>
    <w:rsid w:val="008B2020"/>
    <w:rsid w:val="008E2D81"/>
    <w:rsid w:val="009C1313"/>
    <w:rsid w:val="00A24197"/>
    <w:rsid w:val="00A33951"/>
    <w:rsid w:val="00A34EBD"/>
    <w:rsid w:val="00AE17F4"/>
    <w:rsid w:val="00B85B38"/>
    <w:rsid w:val="00BD4EAC"/>
    <w:rsid w:val="00BE616A"/>
    <w:rsid w:val="00C34034"/>
    <w:rsid w:val="00C46220"/>
    <w:rsid w:val="00C76243"/>
    <w:rsid w:val="00CA16D5"/>
    <w:rsid w:val="00CC4172"/>
    <w:rsid w:val="00CE0C7B"/>
    <w:rsid w:val="00D17A15"/>
    <w:rsid w:val="00D638D6"/>
    <w:rsid w:val="00D777D2"/>
    <w:rsid w:val="00DA0607"/>
    <w:rsid w:val="00DB2C92"/>
    <w:rsid w:val="00DC6542"/>
    <w:rsid w:val="00E06A2D"/>
    <w:rsid w:val="00E211A6"/>
    <w:rsid w:val="00E3023D"/>
    <w:rsid w:val="00E90F4F"/>
    <w:rsid w:val="00EF668C"/>
    <w:rsid w:val="00F97224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2020-08-21T14:22:00Z</dcterms:created>
  <dcterms:modified xsi:type="dcterms:W3CDTF">2020-08-28T16:06:00Z</dcterms:modified>
</cp:coreProperties>
</file>