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CA6921" w:rsidRPr="00CA6921" w:rsidRDefault="00CA6921" w:rsidP="00CA6921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CA6921">
        <w:rPr>
          <w:rFonts w:ascii="Times New Roman" w:hAnsi="Times New Roman" w:cs="Times New Roman"/>
          <w:b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егламентирующих вопросы планирования закупок и порядок  формирования, утверждения и ведения плана-графика в Администрации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>ась Администрация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законодательству.</w:t>
      </w:r>
    </w:p>
    <w:p w:rsid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 xml:space="preserve">План-график администрации Почепского района опубликован на официальном сайте в структурированной форме. Сведения о плане-графике содержат недостоверные данные в части </w:t>
      </w:r>
      <w:proofErr w:type="gramStart"/>
      <w:r w:rsidRPr="00CA692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A6921">
        <w:rPr>
          <w:rFonts w:ascii="Times New Roman" w:hAnsi="Times New Roman" w:cs="Times New Roman"/>
          <w:sz w:val="28"/>
          <w:szCs w:val="28"/>
        </w:rPr>
        <w:t xml:space="preserve"> ОКАТО и ОКТМО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   В ходе контрольного мероприятия установлено, что на официальном сайте за отчетный период размещено 27 версий плана-графика. В течение 2016 года в план-график закупок Администрации Почепского района 27 раз вносились изменения с применением пункта «возникновение обстоятельств, предвидеть которые на дату утверждения плана-графика было невозможно».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   Анализируя характер внесенных изменений, необходимо отметить, что фактически заказчик при формировании первоначального плана-графика на 2016 год включил в него только часть закупок, а оставшиеся закупки добавляются по мере возникновения необходимости. Установленный факт свидетельствует о неэффективном планировании закупок в учреждении.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были сопоставлены значения совокупного годового объема закупок на официальном сайте и доведенного до администрации Почепского района объема прав в денежном выражении на  осуществление закупок.    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lastRenderedPageBreak/>
        <w:t xml:space="preserve">      Методом расчета показателей бюджетной сметы с учетом измененией, вносимых в течение проверяемого периода установлено, что размер совокупного годового объема закупок заказчика  по состоянию на 20.04.2016 года составляет 42 344,8 тыс. рублей, по данным плана-графика – 34 399,0 тыс. рублей. 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   Кроме того закупки, планируемые в текущем году отражены в плане-графике в размере 28 447,4 тыс. рублей.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   Данный факт позволяет сделать вывод о несоответствии запланированных закупок предоставленному учреждению объему финансового обеспечения.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   Существенное расхождение объемов финансирования, предусмотренных в плане-графике на осуществление закупок и отраженных в плане-графике,  свидетельствует о неполном отражении планируемых закупок, что противоречит таким принципам функционирования контрактной системы, как прозрачность и открытость закупок.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>Несвоевременное опубликование указанных данных приводит к нарушению прав субъектов предпринимательской деятельности на получение информации о планируемых закупках.</w:t>
      </w:r>
    </w:p>
    <w:p w:rsidR="00CA6921" w:rsidRP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   Кроме того, несвоевременное и некачественное планирование закупок повышает риск своевременности исполнения бюджета, достижения установленных результатов муниципальных программ.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F17B2"/>
    <w:rsid w:val="001110AD"/>
    <w:rsid w:val="003977E3"/>
    <w:rsid w:val="00811379"/>
    <w:rsid w:val="008173F7"/>
    <w:rsid w:val="008A2B00"/>
    <w:rsid w:val="008E5083"/>
    <w:rsid w:val="009859B6"/>
    <w:rsid w:val="00C168F5"/>
    <w:rsid w:val="00CA6921"/>
    <w:rsid w:val="00ED65B9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2017-02-01T06:03:00Z</dcterms:created>
  <dcterms:modified xsi:type="dcterms:W3CDTF">2017-02-01T08:41:00Z</dcterms:modified>
</cp:coreProperties>
</file>